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/>
        <w:rPr>
          <w:rFonts w:ascii="Times New Roman" w:hAnsi="Times New Roman" w:eastAsia="黑体"/>
          <w:color w:val="000000"/>
          <w:sz w:val="36"/>
          <w:szCs w:val="36"/>
        </w:rPr>
      </w:pPr>
      <w:bookmarkStart w:id="0" w:name="_GoBack"/>
      <w:bookmarkEnd w:id="0"/>
    </w:p>
    <w:p>
      <w:pPr>
        <w:tabs>
          <w:tab w:val="left" w:pos="4440"/>
        </w:tabs>
        <w:spacing w:line="600" w:lineRule="exact"/>
        <w:ind w:firstLine="60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ab/>
      </w:r>
    </w:p>
    <w:p>
      <w:pPr>
        <w:spacing w:line="600" w:lineRule="exact"/>
        <w:ind w:firstLine="600"/>
        <w:jc w:val="center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spacing w:line="760" w:lineRule="exact"/>
        <w:ind w:firstLine="600"/>
        <w:jc w:val="center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spacing w:line="480" w:lineRule="exact"/>
        <w:ind w:firstLine="600"/>
        <w:jc w:val="center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spacing w:line="420" w:lineRule="exact"/>
        <w:ind w:firstLine="600"/>
        <w:jc w:val="center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01"/>
        <w:jc w:val="center"/>
        <w:textAlignment w:val="auto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eastAsia="仿宋" w:cs="Times New Roman"/>
          <w:b/>
          <w:sz w:val="34"/>
          <w:szCs w:val="34"/>
        </w:rPr>
      </w:pPr>
      <w:r>
        <w:rPr>
          <w:rFonts w:hint="default" w:ascii="Times New Roman" w:hAnsi="Times New Roman" w:eastAsia="仿宋" w:cs="Times New Roman"/>
          <w:bCs/>
          <w:color w:val="000000"/>
          <w:sz w:val="34"/>
          <w:szCs w:val="34"/>
        </w:rPr>
        <w:t>泉科协〔202</w:t>
      </w:r>
      <w:r>
        <w:rPr>
          <w:rFonts w:hint="default" w:ascii="Times New Roman" w:hAnsi="Times New Roman" w:eastAsia="仿宋" w:cs="Times New Roman"/>
          <w:bCs/>
          <w:color w:val="000000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color w:val="000000"/>
          <w:sz w:val="34"/>
          <w:szCs w:val="34"/>
        </w:rPr>
        <w:t>〕</w:t>
      </w:r>
      <w:r>
        <w:rPr>
          <w:rFonts w:hint="default" w:ascii="Times New Roman" w:hAnsi="Times New Roman" w:eastAsia="仿宋" w:cs="Times New Roman"/>
          <w:bCs/>
          <w:color w:val="000000"/>
          <w:sz w:val="34"/>
          <w:szCs w:val="34"/>
          <w:lang w:val="en-US" w:eastAsia="zh-CN"/>
        </w:rPr>
        <w:t>33</w:t>
      </w:r>
      <w:r>
        <w:rPr>
          <w:rFonts w:hint="default" w:ascii="Times New Roman" w:hAnsi="Times New Roman" w:eastAsia="仿宋" w:cs="Times New Roman"/>
          <w:bCs/>
          <w:color w:val="000000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ind w:firstLine="720"/>
        <w:jc w:val="center"/>
        <w:textAlignment w:val="auto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泉州市科学技术协会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《学会》杂志社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泉州市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科技工作者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建议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0" w:firstLineChars="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各市级学会（协会、研究会）、高校科协、县（市、区）科协、泉州开发区党群工作部、泉州台商投资区科经局，科研院所：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为深入开展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大兴调查研究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活动，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扎实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深学争优、敢为争先、实干争效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行动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，有效履行科协组织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服务党委政府科学决策、服务经济社会发展的职责，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决定联合开展2023年度泉州市科技工作者建议征集评选活动。有关事项通知如下：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5月份提交课题调研方案，7月份提交科技工作者建议。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二、征集方式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1. 泉州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市科协、《学会》杂志社是本次活动的主办单位。泉州市科协所属的市级学会、高校科协、县（市、区）科协、院士专家工作站、企业科协是科技工作者建议的推荐单位，负责建议的收集、初审，择优向主办单位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泉州市科技工作者以实名制形式向推荐单位提交科技工作者建议，可以有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或多个作者（限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5名以内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主办单位不接受个人直接提交的建议。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三、征集程序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主办单位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发布重点选题方向（附件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各推荐单位广泛发动科技工作者积极参与，鼓励引导科技工作者积极建言献策，及时成立课题调研组，确定调研课题，于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5月30日前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向泉州市科协提交调研方案（未提交调研方案不影响科技工作者建议的提交）。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科技工作者可根据主办单位发布的重点选题方向，也可围绕泉州市委、市政府中心任务或泉州市经济社会发展存在的重点、热点、难点问题自主选题，开展调查研究，形成科技工作者建议，提交推荐单位。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推荐单位负责科技工作者建议的初审，确认建议是否契合主题，有关信息全面、准确，无重大政治立场问题，不违反国家保密规定，于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7月30日前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向泉州市科协提交通过初审的建议。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四、撰写要求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科技工作者建议要紧紧围绕泉州市创新驱动发展、建设现代化产业体系、推进发展方式绿色转型、城市精细治理、推进乡村振兴、战略性新兴产业发展、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高质量发展等重点工作，以解决重点热点问题为主攻方向，突出科协特色，体现宏观性、战略性、前瞻性。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突出问题导向、目标导向，政治方向正确，无重大原则性错误。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密切结合实际，调查方法科学严谨、写作用语标准规范、引证资料准确翔实，所用资料无知识产权争议，提出的对策措施具有针对性和可操作性。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每份建议包括1篇1500字左右的建议稿及1篇6000字左右的调研报告，应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包含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泉州市在该领域现状、存在主要问题及原因分析、国内外可借鉴的先进做法、具体对策措施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等内容，可附相关资料、数据等。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五、评选办法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主办单位对推荐单位提交的科技工作者建议进行整理、初步审查。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确定评选方案，设置一二三等奖各若干名。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组织专家进行评审，确定获奖名单。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六、成果应用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获奖的建议纳入泉州市科协决策咨询资助项目管理，泉州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市科协具有该建议的使用权，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对获得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一二三等奖的建议分别给予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3万元、2万元、1万元的课题经费资助，授予荣誉证书。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获奖的建议将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择优呈报市委市政府作为决策咨询参考，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获得领导批示或被有关部门采用的，给予作者一定的奖励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课题阶段性成果可先期向《海峡科学》杂志投稿，最终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获奖的建议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在《学会》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《海峡科学》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杂志上发表。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报送科技工作者建议的学会，根据报送数量在学会绩效考评中给予相应的加分。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开展科技工作者建议征集评选活动有助于凝聚科技工作者智慧、畅通科技工作者建言献策渠道，各推荐单位思想上高度重视，组织按时提交调研方案及科技工作者建议。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调研方案可提交纸质版（一式一份）或电子版材料；科技工作者建议应提交纸质版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泉州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</w:rPr>
        <w:t>市科技工作者建议信息表》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（一式一份），建议稿、调研报告及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相关资料、数据等（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各一式三份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，并提交电子版材料。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如发现获奖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存在弄虚作假、剽窃他人成果以及其他重大问题的，将撤销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获奖资格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，追回证书和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资助经费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，并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联系地址：泉州市东海行政中心交通科研楼C栋139室市科协学会部，联系人：王思颖，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18959218839，电子邮箱：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instrText xml:space="preserve"> HYPERLINK "mailto:kx2217967@126.com" </w:instrTex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kx2217967@126.com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附件：1.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泉州市科技工作者建议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重点选题方向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firstLine="1600" w:firstLineChars="500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泉州市科技工作者建议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调研方案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1600" w:firstLineChars="500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泉州市科技工作者建议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信息表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泉州市科学技术协会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《学会》杂志社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   202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     </w:t>
      </w:r>
    </w:p>
    <w:p/>
    <w:p/>
    <w:p>
      <w:p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 w:firstLineChars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泉州市科技工作者建议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  <w:t>重点选题方向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（以下选题仅供参考，可围绕但不局限于所列选题）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Noto Sans CJK SC" w:hAnsi="Noto Sans CJK SC" w:eastAsia="Noto Sans CJK SC" w:cs="Noto Sans CJK SC"/>
          <w:i w:val="0"/>
          <w:caps w:val="0"/>
          <w:color w:val="252A2D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社会组织党建工作相关建议。进一步加强新时代市科协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科技社团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党建工作，夯实党建基础、创新工作机制，围绕强化党建引领、聚焦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四个服务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、加强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科技社团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党建、科技社团建设，推动科协事业高质量发展等问题深入开展专题调研，提出意见和建议。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高质量发展相关建议。突出绿色低碳高质量发展，积极稳妥推进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双碳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工作，推动能源清洁低碳高效利用；把实施扩大内需战略同深化供给侧结构性改革有机结合起来，加快发展方式绿色转型，以更高标准打好蓝天、碧水、净土保卫战等方面提出对策建议。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16" w:firstLineChars="200"/>
        <w:textAlignment w:val="auto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打造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科创中国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样板，助力泉州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强产业、兴城市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双轮驱动研究。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推进泉州市制造业加快智能化改造和数字化转型，建设数字基础设施，推进数字产业化和产业数字化，培育数字产业集群，提升公共服务、社会治理等方面提出针对性决策咨询建议。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4.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推进现代服务业融合发展相关建议。聚力发展现代金融、现代物流、现代商贸、软件和信息服务、科技服务、文化旅游、会展等现代服务业，在打好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新服务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融合提升硬仗，推动现代服务业与先进制造业深度融合发展等方面提出对策建议。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研判科技创新突破口、超前布局未来产业相关建议。积极抢占基因技术、未来网络、海洋物联网、类脑智能、量子信息、深海开发、空天信息等领域发展新赛道，建设未来产业先导区；加快布局建设创新应用实验室、场景应用实验室，鼓励市属企业建设未来产业创新中心等方面提出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加强新型基础设施建设相关建议。加强新基建投资，强化要素服务保障，打好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新制造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建链强链硬仗，推动新兴产业集群发展、优势产业扩能升级、未来产业规划布局，以数字转型、智能升级、融合创新为方向，提出加快新型基础设施建设的对策建议。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加快农业农村现代化相关建议。在实施乡村振兴发展行动，加快推进智慧农业发展等方面提出有针对性的对策建议。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推动高水平对外开放相关建议。积极融入共建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一带一路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，扩大与沿线国家和地区的交流与合作，提升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引进来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和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走出去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的质量效益等方面提出对策建议。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实施泉州市人才港湾计划的相关建议。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深入实施人才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涌泉行动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，推动产学研深度合作；完善人才发展机制、改革科技评价与奖励制度；推动科学道德和创新文化建设等方面提出建议。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推进健康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泉州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建设相关建议。聚焦加快城市公立医院综合改革、互联网+医疗健康行动计划、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instrText xml:space="preserve"> HYPERLINK "G:/%E7%A7%91%E6%8A%80%E5%A4%84%E5%B7%A5%E4%BD%9C/2023/%E9%9D%92%E7%A7%91%E5%8D%8F%E5%AD%97%E3%80%942023%E3%80%9516%E5%8F%B7%E5%85%B3%E4%BA%8E%E5%BE%81%E9%9B%862023%E5%B9%B4%E5%BA%A6%E7%A7%91%E6%8A%80%E5%B7%A5%E4%BD%9C%E8%80%85%E5%BB%BA%E8%AE%AE%E7%9A%84%E9%80%9A%E7%9F%A5.doc" \l " /t" </w:instrTex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构建和谐医患关系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等开展调查研究，提出前瞻性、可操作性意见和建议。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对灾情、疫情、险情等贴近民生的重大突发事件、重要社会动态的反映和建议。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激发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科技社团组织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活力，推进科技社团有序承接政府转移职能，开展第三方社会组织评估，发挥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科技社团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在全社会创新中的重要作用的意见和建议。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经济社会又好又快发展中的热点问题、关系人民群众切身利益的突出问题等方面的新情况新问题，结合市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委市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政府中心工作，从科技角度提供的决策咨询参考。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252A2D"/>
          <w:spacing w:val="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 w:firstLineChars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 w:firstLineChars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 w:firstLineChars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 w:firstLineChars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</w:p>
    <w:p>
      <w:pPr>
        <w:tabs>
          <w:tab w:val="left" w:pos="0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泉州市科技工作者建议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调研方案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推荐单位：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 xml:space="preserve">                                年  月  日</w:t>
      </w:r>
    </w:p>
    <w:tbl>
      <w:tblPr>
        <w:tblStyle w:val="7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659"/>
        <w:gridCol w:w="1636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课题名称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课题主要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调研方案（包括：调研内容、调研方法、时间安排、经费预算等）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 w:firstLineChars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firstLine="0" w:firstLineChars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</w:p>
    <w:p>
      <w:pPr>
        <w:tabs>
          <w:tab w:val="left" w:pos="0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泉州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市科技工作者建议信息表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推荐</w:t>
      </w:r>
      <w:r>
        <w:rPr>
          <w:rFonts w:hint="eastAsia" w:ascii="仿宋" w:hAnsi="仿宋" w:eastAsia="仿宋" w:cs="仿宋"/>
          <w:sz w:val="28"/>
          <w:szCs w:val="28"/>
        </w:rPr>
        <w:t>单位（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</w:t>
      </w:r>
      <w:r>
        <w:rPr>
          <w:rFonts w:hint="eastAsia" w:ascii="仿宋" w:hAnsi="仿宋" w:eastAsia="仿宋" w:cs="仿宋"/>
          <w:sz w:val="28"/>
          <w:szCs w:val="28"/>
        </w:rPr>
        <w:t>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年   月    日</w:t>
      </w:r>
    </w:p>
    <w:tbl>
      <w:tblPr>
        <w:tblStyle w:val="6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66"/>
        <w:gridCol w:w="820"/>
        <w:gridCol w:w="849"/>
        <w:gridCol w:w="1404"/>
        <w:gridCol w:w="150"/>
        <w:gridCol w:w="218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建议题目</w:t>
            </w:r>
          </w:p>
        </w:tc>
        <w:tc>
          <w:tcPr>
            <w:tcW w:w="7671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67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内容提要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包括调研的主要问题、调研方法、对策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措施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，200字以内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71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专业领域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25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独创性声明：所提交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无知识产权争议。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40" w:firstLineChars="5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25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泉州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市科协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具有建议的使用权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月   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86" w:firstLineChars="130"/>
        <w:textAlignment w:val="auto"/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05pt;height:0pt;width:441pt;z-index:251659264;mso-width-relative:page;mso-height-relative:page;" filled="f" stroked="t" coordsize="21600,21600" o:gfxdata="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Zyat1QAAAAYBAAAPAAAAAAAAAAEAIAAAACIAAABkcnMvZG93bnJldi54bWxQ&#10;SwECFAAUAAAACACHTuJAfY3AUfoBAADzAwAADgAAAAAAAAABACAAAAAk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5pt;height:0pt;width:441pt;z-index:251660288;mso-width-relative:page;mso-height-relative:page;" filled="f" stroked="t" coordsize="21600,21600" o:gfxdata="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GV+4DTAAAABAEAAA8AAAAAAAAAAQAgAAAAIgAAAGRycy9kb3ducmV2LnhtbFBL&#10;AQIUABQAAAAIAIdO4kCSZAsc+wEAAPMDAAAOAAAAAAAAAAEAIAAAACI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w:t xml:space="preserve">泉州市科学技术协会  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202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月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0"/>
          <w:szCs w:val="30"/>
        </w:rPr>
        <w:t>日印发</w:t>
      </w:r>
    </w:p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-313055</wp:posOffset>
              </wp:positionV>
              <wp:extent cx="819785" cy="4527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65pt;height:35.65pt;width:64.55pt;mso-position-horizontal:outside;mso-position-horizontal-relative:margin;z-index:251659264;mso-width-relative:page;mso-height-relative:page;" filled="f" stroked="f" coordsize="21600,21600" o:gfxdata="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Yz5D9YAAAAHAQAADwAAAAAAAAAB&#10;ACAAAAAiAAAAZHJzL2Rvd25yZXYueG1sUEsBAhQAFAAAAAgAh07iQHYnd2vZAQAApAMAAA4AAAAA&#10;AAAAAQAgAAAAJ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F7371"/>
    <w:multiLevelType w:val="singleLevel"/>
    <w:tmpl w:val="9EBF73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DF6DE6"/>
    <w:multiLevelType w:val="singleLevel"/>
    <w:tmpl w:val="FFDF6DE6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BA760"/>
    <w:rsid w:val="03573F52"/>
    <w:rsid w:val="06BEB049"/>
    <w:rsid w:val="06E005DA"/>
    <w:rsid w:val="07DCBDA0"/>
    <w:rsid w:val="12F3B800"/>
    <w:rsid w:val="137BBF12"/>
    <w:rsid w:val="1BF63DF9"/>
    <w:rsid w:val="1EF9FFF3"/>
    <w:rsid w:val="1FBBA760"/>
    <w:rsid w:val="2E3FD61E"/>
    <w:rsid w:val="35BA3004"/>
    <w:rsid w:val="39F6E64E"/>
    <w:rsid w:val="39FF9D17"/>
    <w:rsid w:val="3B7F6751"/>
    <w:rsid w:val="3CDE5778"/>
    <w:rsid w:val="3DFB97A6"/>
    <w:rsid w:val="3DFF6529"/>
    <w:rsid w:val="3FBB0925"/>
    <w:rsid w:val="4BE7B3C4"/>
    <w:rsid w:val="4EC962C9"/>
    <w:rsid w:val="4F57401D"/>
    <w:rsid w:val="56FFE70B"/>
    <w:rsid w:val="57FE355F"/>
    <w:rsid w:val="592FA709"/>
    <w:rsid w:val="5DFEB172"/>
    <w:rsid w:val="5E7F81FE"/>
    <w:rsid w:val="5FE654C7"/>
    <w:rsid w:val="63FDA62C"/>
    <w:rsid w:val="69BBBE78"/>
    <w:rsid w:val="6B3CF689"/>
    <w:rsid w:val="6BFFA5BC"/>
    <w:rsid w:val="6D5F87C9"/>
    <w:rsid w:val="6F93CCAF"/>
    <w:rsid w:val="745F8DA3"/>
    <w:rsid w:val="747E4102"/>
    <w:rsid w:val="76FF5EDA"/>
    <w:rsid w:val="777E8F29"/>
    <w:rsid w:val="77CD84E3"/>
    <w:rsid w:val="77D5F11B"/>
    <w:rsid w:val="77FE4647"/>
    <w:rsid w:val="795B1500"/>
    <w:rsid w:val="7B6FD323"/>
    <w:rsid w:val="7BBAC1E6"/>
    <w:rsid w:val="7BCF2F90"/>
    <w:rsid w:val="7BFAE5D6"/>
    <w:rsid w:val="7BFF9EE3"/>
    <w:rsid w:val="7E5E78EF"/>
    <w:rsid w:val="7F5DAD5F"/>
    <w:rsid w:val="7F7FE716"/>
    <w:rsid w:val="7F8A34F5"/>
    <w:rsid w:val="954B5645"/>
    <w:rsid w:val="AEFFB3A4"/>
    <w:rsid w:val="AFFF6487"/>
    <w:rsid w:val="B39293AF"/>
    <w:rsid w:val="B3DEE709"/>
    <w:rsid w:val="B4EF8FF0"/>
    <w:rsid w:val="BFF689FD"/>
    <w:rsid w:val="BFFD020F"/>
    <w:rsid w:val="C4FFAC69"/>
    <w:rsid w:val="C71F1374"/>
    <w:rsid w:val="CAFB0A3D"/>
    <w:rsid w:val="CF5F740C"/>
    <w:rsid w:val="D3D538A6"/>
    <w:rsid w:val="D7ACFF39"/>
    <w:rsid w:val="D7F67543"/>
    <w:rsid w:val="DBBB6A72"/>
    <w:rsid w:val="DBF72641"/>
    <w:rsid w:val="DF7F8BEE"/>
    <w:rsid w:val="E57A8F43"/>
    <w:rsid w:val="EADFAEE5"/>
    <w:rsid w:val="EB5F6940"/>
    <w:rsid w:val="EBFF311F"/>
    <w:rsid w:val="EDE26DB6"/>
    <w:rsid w:val="EF7F5884"/>
    <w:rsid w:val="EFBD7517"/>
    <w:rsid w:val="EFDF8B3D"/>
    <w:rsid w:val="EFFF356E"/>
    <w:rsid w:val="F1BA615D"/>
    <w:rsid w:val="F63FE226"/>
    <w:rsid w:val="F67346B0"/>
    <w:rsid w:val="F6877E39"/>
    <w:rsid w:val="F73D3BFE"/>
    <w:rsid w:val="F76E04A8"/>
    <w:rsid w:val="F76F522D"/>
    <w:rsid w:val="F9DED7DD"/>
    <w:rsid w:val="FA760157"/>
    <w:rsid w:val="FB17D3CA"/>
    <w:rsid w:val="FB2D75D4"/>
    <w:rsid w:val="FB5775A9"/>
    <w:rsid w:val="FBAA9D27"/>
    <w:rsid w:val="FBDD344E"/>
    <w:rsid w:val="FBFFE165"/>
    <w:rsid w:val="FC5F5889"/>
    <w:rsid w:val="FC7E6E26"/>
    <w:rsid w:val="FD66A250"/>
    <w:rsid w:val="FDBF807B"/>
    <w:rsid w:val="FDFDD3E4"/>
    <w:rsid w:val="FDFE0EB2"/>
    <w:rsid w:val="FF3F5279"/>
    <w:rsid w:val="FF91A1D3"/>
    <w:rsid w:val="FFDD04D5"/>
    <w:rsid w:val="FFFFB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99"/>
    <w:pPr>
      <w:ind w:left="800" w:leftChars="8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3080</Words>
  <Characters>3174</Characters>
  <Lines>0</Lines>
  <Paragraphs>0</Paragraphs>
  <TotalTime>52.3333333333333</TotalTime>
  <ScaleCrop>false</ScaleCrop>
  <LinksUpToDate>false</LinksUpToDate>
  <CharactersWithSpaces>3392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2023-03-06T16:24:00Z</dcterms:created>
  <dc:creator>casic</dc:creator>
  <cp:lastModifiedBy>WPS_1657782384</cp:lastModifiedBy>
  <cp:lastPrinted>2023-04-25T16:01:57Z</cp:lastPrinted>
  <dcterms:modified xsi:type="dcterms:W3CDTF">2023-04-27T02:32:17Z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536A20A0F0B64C60973F34D79659B7B9_13</vt:lpwstr>
  </property>
</Properties>
</file>